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NW_31634 (Nordrhein-Westfalen)</w:t>
      </w:r>
    </w:p>
    <w:p>
      <w:r>
        <w:rPr>
          <w:color w:val="555555"/>
          <w:sz w:val="18"/>
        </w:rPr>
        <w:t xml:space="preserve">Verordnung zur Regelung von Zuständigkeiten nach dem Bundesvertriebenengesetz und dem Strafrechtlichen Rehabilitierungsgesetz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 für die Feststellung der Rechtseigenschaft nach § 1 des Häftlingshilfegesetzes in der Fassung der Bekanntmachung vom 2. Juni 1993 (BGBl. I S. 838), das zuletzt durch Artikel 1 des Gesetzes vom 7. November 2015 (BGBl. I S. 1922) geändert worden ist, und für die Ausstellung der Bescheinigung gemäß § 10 Absatz 4 des Häftlingshilfegesetzes sind die Kreise und kreisfreien Städte.</w:t>
      </w:r>
    </w:p>
    <w:p>
      <w:r>
        <w:rPr>
          <w:color w:val="555555"/>
          <w:sz w:val="17"/>
        </w:rPr>
        <w:t xml:space="preserve">Zitiervorschlag: § 3 NW_31634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https://recht.nulegal.eu/gesetze/NW_31634/3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NW_31634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