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NW_31621 (Nordrhein-Westfalen) — Meldevergütung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jede gemäß § 14 Absatz 1 des Landeskrebsregistergesetzes vorgesehene Meldung an das Landeskrebsregister ist dem Leistungserbringer eine Meldevergütung zu zahlen, wenn die zu übermittelnden Daten vollständig und unter Beachtung der Maßgaben von § 15 Absatz 1 des Landeskrebsregistergesetzes gemeldet wurden. Für Meldungen, die unter Verstoß gegen § 15 Absatz 1 Satz 2 des Landeskrebsregistergesetzes erfolgen, kann eine Meldevergütung gezahlt werden, wenn die Verzögerung nicht auf einem Verschulden der meldepflichtigen Person beruht.</w:t>
      </w:r>
    </w:p>
    <w:p>
      <w:r>
        <w:t xml:space="preserve">(2) Die Höhe der Meldevergütung ergibt sich aus den Vorgaben der Krebsregister-Meldevergütung-Vereinbarung vom 15. Dezember 2014 in der jeweils geltenden Fassung zwischen dem GKV-Spitzenverband, der Deutschen Krankenhausgesellschaft e.V., der Kassenärztlichen Bundesvereinigung und der Kassenzahnärztlichen Bundesvereinigung gemäß § 65c Absatz 6 des Fünften Buches Sozialgesetzbuch (www.gkv-spitzenverband.de).</w:t>
      </w:r>
    </w:p>
    <w:p>
      <w:r>
        <w:t xml:space="preserve">(3) Zum Zweck der Festlegung der jeweiligen Meldevergütung nimmt die Datenannahmestelle des Landeskrebsregisters Kontakt mit der Datenvalidierungs- und -speicherstelle auf, die den Meldeanlass anhand der verknüpften Daten im Landeskrebsregister bestimmt. Die Datenannahmestelle übermittelt die Daten gemäß § 2 Absatz 4 Nummer 1 bis 6, Absatz 5 Nummer 5, Absatz 7 Nummer 2 und § 12 Absatz 5 zwecks Prüfung an die Datenannahmestellen der Kostenträger, sofern nach § 2 Absatz 2 nicht von dieser Verordnung abweichende Abrechnungsverfahren im Wege einer gesonderten Vereinbarung abgestimmt wurden.</w:t>
      </w:r>
    </w:p>
    <w:p>
      <w:r>
        <w:t xml:space="preserve">(4) Gegenüber dem Landeskrebsregister ist derjenige Kostenträger, bei der die Patientin oder der Patient zum Zeitpunkt der Übermittlung der Meldung ihrer oder seiner Daten versichert ist, zur Zahlung verpflichtet.</w:t>
      </w:r>
    </w:p>
    <w:p>
      <w:r>
        <w:rPr>
          <w:color w:val="555555"/>
          <w:sz w:val="17"/>
        </w:rPr>
        <w:t xml:space="preserve">Zitiervorschlag: § 6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