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NW_31621 (Nordrhein-Westfalen) — Zahlung der Krebsregisterpauschale</w:t>
      </w:r>
    </w:p>
    <w:p>
      <w:r>
        <w:rPr>
          <w:color w:val="555555"/>
          <w:sz w:val="18"/>
        </w:rPr>
        <w:t xml:space="preserve">Landeskrebsregister-Abrechnungs-Verordnung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Abrechnung der Krebsregisterpauschale werden der Datenannahmestelle des Kostenträgers, bei dem die Patientin oder der Patient versichert ist, die Daten gemäß § 2 Absatz 4 Nummer 1 bis 6, Absatz 5 Nummer 5 sowie die Daten gemäß § 12 Absatz 5 des Landeskrebsregistergesetzes übermittelt. Die Daten nach Satz 1 können ergänzt werden durch organisatorische und technische Angaben, soweit diese in der jeweils geltenden in den Fördervoraussetzungen gemäß § 65c Absatz 2 des Fünften Buches Sozialgesetzbuch vorgesehenen Technischen Anlage bestimmt sind.</w:t>
      </w:r>
    </w:p>
    <w:p>
      <w:r>
        <w:t xml:space="preserve">(2) Für die Übermittlung der Daten wird das in den Förderkriterien gemäß § 65c Absatz 2 des Fünften Buches Sozialgesetzbuch vorgesehene bundesweit einheitliche elektronische Datenaustauschverfahren genutzt.</w:t>
      </w:r>
    </w:p>
    <w:p>
      <w:r>
        <w:t xml:space="preserve">(3) Die Kostenträger prüfen die übermittelten Daten und geben dem Landeskrebsregister Rückmeldungen sowie Beanstandungen hierzu innerhalb von 31 Kalendertagen nach Eingang der Daten.</w:t>
      </w:r>
    </w:p>
    <w:p>
      <w:r>
        <w:t xml:space="preserve">(4) Die Zahlung der Krebsregisterpauschale an das Landeskrebsregister erfolgt spätestens innerhalb von 45 Tagen ab Eingang der Daten nach Absatz 1, sofern die Abrechnung nicht innerhalb dieser Frist beanstandet worden ist.</w:t>
      </w:r>
    </w:p>
    <w:p>
      <w:r>
        <w:t xml:space="preserve">(5) Die Datenübermittlung hat ausschließlich verschlüsselt nach dem jeweils geltenden Stand der Technik zu erfolgen.</w:t>
      </w:r>
    </w:p>
    <w:p>
      <w:r>
        <w:rPr>
          <w:color w:val="555555"/>
          <w:sz w:val="17"/>
        </w:rPr>
        <w:t xml:space="preserve">Zitiervorschlag: § 5 NW_31621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https://recht.nulegal.eu/gesetze/NW_31621/5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