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NW_31621 (Nordrhein-Westfalen) — Kostenträger</w:t>
      </w:r>
    </w:p>
    <w:p>
      <w:r>
        <w:rPr>
          <w:color w:val="555555"/>
          <w:sz w:val="18"/>
        </w:rPr>
        <w:t xml:space="preserve">Landeskrebsregister-Abrechnungs-Verordnung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Kostenträger sind die Krankenkassen und Ersatzkassen, die Knappschaft und die Sozialversicherung für Landwirtschaft, Forsten und Gartenbau.</w:t>
      </w:r>
    </w:p>
    <w:p>
      <w:r>
        <w:t xml:space="preserve">(2) Verpflichten sich Unternehmen der privaten Krankenversicherungen, die Beihilfeträger auf Bundes-, Landes- oder kommunaler Ebene oder andere vergleichbare Einrichtungen zur Kostentragung gemäß § 65c Absatz 3 und Absatz 6 des Fünften Buches Sozialgesetzbuch, gelten diese ebenfalls als Kostenträger im Sinne dieser Verordnung. Mit ihnen können von dieser Verordnung abweichende Abrechnungsverfahren im Wege einer Vereinbarung abgestimmt werden.</w:t>
      </w:r>
    </w:p>
    <w:p>
      <w:r>
        <w:rPr>
          <w:color w:val="555555"/>
          <w:sz w:val="17"/>
        </w:rPr>
        <w:t xml:space="preserve">Zitiervorschlag: § 2 NW_31621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