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NW_31621 (Nordrhein-Westfalen) — Inkrafttreten, Befristung</w:t>
      </w:r>
    </w:p>
    <w:p>
      <w:r>
        <w:rPr>
          <w:color w:val="555555"/>
          <w:sz w:val="18"/>
        </w:rPr>
        <w:t xml:space="preserve">Landeskrebsregister-Abrechnungs-Verordnung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 Das für Gesundheit zuständige Ministerium berichtet der Landesregierung bis zum 1. Juli 2021 über die Erfahrungen mit dieser Verordnung.</w:t>
      </w:r>
    </w:p>
    <w:p>
      <w:r>
        <w:t xml:space="preserve">Die Ministerin</w:t>
      </w:r>
    </w:p>
    <w:p>
      <w:r>
        <w:t xml:space="preserve">für Gesundheit, Emanzipation, Pflege und Alter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12 NW_31621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https://recht.nulegal.eu/gesetze/NW_31621/12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