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NW_31621 (Nordrhein-Westfalen) — Datenverarbeitung durch das Landeskrebsregister</w:t>
      </w:r>
    </w:p>
    <w:p>
      <w:r>
        <w:rPr>
          <w:color w:val="555555"/>
          <w:sz w:val="18"/>
        </w:rPr>
        <w:t xml:space="preserve">Landeskrebsregister-Abrechnungs-Verordnung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Landeskrebsregister gewährleistet, dass die Datenübermittlung den Grundsätzen des § 9 des Landeskrebsregistergesetzes sowie der Anlage zu § 9 des Landeskrebsregistergesetzes genügt. Sieht die Technische Anlage zum bundesweiten einheitlichen elektronischen Austauschverfahren ergänzend weitere Maßgaben vor, sind diese ebenfalls zu beachten.</w:t>
      </w:r>
    </w:p>
    <w:p>
      <w:r>
        <w:rPr>
          <w:color w:val="555555"/>
          <w:sz w:val="17"/>
        </w:rPr>
        <w:t xml:space="preserve">Zitiervorschlag: § 10 NW_31621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https://recht.nulegal.eu/gesetze/NW_31621/10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