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NW_31602 (Nordrhein-Westfalen) — Inkrafttreten</w:t>
      </w:r>
    </w:p>
    <w:p>
      <w:r>
        <w:rPr>
          <w:color w:val="555555"/>
          <w:sz w:val="18"/>
        </w:rPr>
        <w:t xml:space="preserve">Verordnung über die Regelung von Zuständigkeiten nach § 32 Absatz 1 Satz 1 des Parteiengesetzes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Der Minister</w:t>
      </w:r>
    </w:p>
    <w:p>
      <w:r>
        <w:t xml:space="preserve">für Inneres und Kommunales</w:t>
      </w:r>
    </w:p>
    <w:p>
      <w:r>
        <w:rPr>
          <w:color w:val="555555"/>
          <w:sz w:val="17"/>
        </w:rPr>
        <w:t xml:space="preserve">Zitiervorschlag: § 2 NW_31602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https://recht.nulegal.eu/gesetze/NW_31602/2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