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Juli 2016</w:t>
      </w:r>
    </w:p>
    <w:p>
      <w:r>
        <w:t xml:space="preserve">Inhaltsübersicht</w:t>
      </w:r>
    </w:p>
    <w:p>
      <w:r>
        <w:t xml:space="preserve">Abschnitt 1: Straßenverkehr</w:t>
      </w:r>
    </w:p>
    <w:p>
      <w:r>
        <w:t xml:space="preserve">Teil 1: Zuständigkeiten nach dem Straßenverkehrsgesetz (§§ 1 - 4)</w:t>
      </w:r>
    </w:p>
    <w:p>
      <w:r>
        <w:t xml:space="preserve">Teil 2: Zuständigkeiten nach der Straßenverkehrsordnung (§§ 5 - 11)</w:t>
      </w:r>
    </w:p>
    <w:p>
      <w:r>
        <w:t xml:space="preserve">Teil 3: Zuständigkeiten nach der Straßenverkehrs-Zulassungs-Ordnung (§§ 12 - 15)</w:t>
      </w:r>
    </w:p>
    <w:p>
      <w:r>
        <w:t xml:space="preserve">Teil 4: Zuständigkeiten nach der EG-Fahrzeuggenehmigungsverordnung (§ 16)</w:t>
      </w:r>
    </w:p>
    <w:p>
      <w:r>
        <w:t xml:space="preserve">Teil 5: Zuständigkeiten nach der Fahrzeug-Zulassungsverordnung (§§ 17 - 19)</w:t>
      </w:r>
    </w:p>
    <w:p>
      <w:r>
        <w:t xml:space="preserve">Teil 6: Zuständigkeiten nach der 9. Ausnahmeverordnung zur StVO (§ 20)</w:t>
      </w:r>
    </w:p>
    <w:p>
      <w:r>
        <w:t xml:space="preserve">Teil 7: Zuständigkeiten nach der Fahrerlaubnis-Verordnung (§§ 21 - 27)</w:t>
      </w:r>
    </w:p>
    <w:p>
      <w:r>
        <w:t xml:space="preserve">Teil 8: Zuständigkeiten nach dem Fahrlehrergesetz, der Durchführungsverordnung zum Fahrlehrergesetz und der Prüfungsordnung für Fahrlehrer (§§ 28 - 30)</w:t>
      </w:r>
    </w:p>
    <w:p>
      <w:r>
        <w:t xml:space="preserve">Teil 9: Zuständigkeiten nach dem Kraftfahrsachverständigengesetz (§ 31)</w:t>
      </w:r>
    </w:p>
    <w:p>
      <w:r>
        <w:t xml:space="preserve">Teil 10: Zuständigkeiten nach der Berufskraftfahrerqualifikation (§§ 32- 33)</w:t>
      </w:r>
    </w:p>
    <w:p>
      <w:r>
        <w:t xml:space="preserve">Teil 11: Zuständigkeiten nach der Ferienreiseverordnung (§ 35)</w:t>
      </w:r>
    </w:p>
    <w:p>
      <w:r>
        <w:t xml:space="preserve">Teil 12: Zuständigkeiten nach der Straßenverkehr-Transportbegleitungsverordnung (§ 36)</w:t>
      </w:r>
    </w:p>
    <w:p>
      <w:r>
        <w:t xml:space="preserve">Abschnitt 2: Güterbeförderung</w:t>
      </w:r>
    </w:p>
    <w:p>
      <w:r>
        <w:t xml:space="preserve">Teil 1: Zuständigkeiten nach dem Güterkraftverkehrsgesetz, der Berufszugangsverordnung für den Güterkraftverkehr, der Verordnung über den grenzüberschreitenden Güterkraftverkehr und den Kabotageverkehr, der Verordnung (EG) Nummer 1071/2009 sowie der Verordnung (EG) Nummer 1072/2009 (§§ 37 - 39)</w:t>
      </w:r>
    </w:p>
    <w:p>
      <w:r>
        <w:t xml:space="preserve">Teil 2: Zuständigkeiten nach dem Gesetz zu dem Übereinkommen vom 2. Dezember 1972 über sichere Container (§§ 40 f.)</w:t>
      </w:r>
    </w:p>
    <w:p>
      <w:r>
        <w:t xml:space="preserve">Teil 3: Zuständigkeiten für den Vollzug des Übereinkommens vom 1.September 1970 über internationale Beförderungen leicht verderblicher Lebensmittel und über die besonderen Beförderungsmittel, die für diese Beförderungen zu verwenden sind (ATP-Übereinkommen) (§ 42)</w:t>
      </w:r>
    </w:p>
    <w:p>
      <w:r>
        <w:t xml:space="preserve">Teil 4: Zuständigkeiten nach dem Gefahrgutbeförderungsgesetz (§§ 43 - 47)</w:t>
      </w:r>
    </w:p>
    <w:p>
      <w:r>
        <w:t xml:space="preserve">Teil 5: Zuständigkeiten nach der Gefahrgutverordnung Straße, Eisenbahn und Binnenschifffahrt und nach dem Übereinkommen über den Transport gefährlicher Güter auf der Straße (ADR) (§§ 48 - 52a)</w:t>
      </w:r>
    </w:p>
    <w:p>
      <w:r>
        <w:t xml:space="preserve">Teil 6: Zuständigkeiten nach der Gefahrgutkontrollverordnung (§§ 53 f.)</w:t>
      </w:r>
    </w:p>
    <w:p>
      <w:r>
        <w:t xml:space="preserve">Teil 7: Zuständigkeiten nach der Gefahrgutbeauftragtenverordnung (§§ 55 - 57)</w:t>
      </w:r>
    </w:p>
    <w:p>
      <w:r>
        <w:t xml:space="preserve">Abschnitt 3: Schlussbestimmungen (§§ 58 f.)</w:t>
      </w:r>
    </w:p>
    <w:p>
      <w:r>
        <w:rPr>
          <w:color w:val="555555"/>
          <w:sz w:val="17"/>
        </w:rPr>
        <w:t xml:space="preserve">Zitiervorschlag: Eingangsformel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