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Erteilung einer Erlaubnis nach § 29 Absatz 2 und nach § 30 Absatz 2 der Straßenverkehrs-Ordnung sind die örtlichen Ordnungsbehörden der Mittleren und Großen kreisangehörigen Städte zuständig, soweit sich die Veranstaltung auf den Bezirk einer Mittleren oder Großen kreisangehörigen Stadt beschränkt.</w:t>
      </w:r>
    </w:p>
    <w:p>
      <w:r>
        <w:t xml:space="preserve">(2) Die Zuständigkeiten der höheren Verwaltungsbehörden und der obersten Landesbehörde nach § 44 Absatz 3 Satz 1 und 2 der Straßenverkehrs-Ordnung für die Erteilung einer Erlaubnis nach § 29 Absatz 2 und nach § 30 Absatz 2 der Straßenverkehrs-Ordnung werden den Straßenverkehrsbehörden übertragen. Örtlich zuständig ist die Straßenverkehrsbehörde, in deren Bezirk die Veranstaltung beginnt.</w:t>
      </w:r>
    </w:p>
    <w:p>
      <w:r>
        <w:rPr>
          <w:color w:val="555555"/>
          <w:sz w:val="17"/>
        </w:rPr>
        <w:t xml:space="preserve">Zitiervorschlag: § 7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