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52a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örtlichen Ordnungsbehörden (Hafenbehörden) sind zuständig für</w:t>
      </w:r>
    </w:p>
    <w:p>
      <w:r>
        <w:t xml:space="preserve">1. die Erfüllung der Aufgaben nach § 16 Absatz 6 Satz 1 Nummer 1 der Gefahrgutverordnung Straße, Eisenbahn und Binnenschifffahrt in Verbindung mit Teil 7 des Übereinkommens über die internationale Beförderung von gefährlichen Gütern auf Binnenwasserstraßen für den Bereich der Häfen,</w:t>
      </w:r>
    </w:p>
    <w:p>
      <w:r>
        <w:t xml:space="preserve">2. das Genehmigen von Reparatur- und Wartungsarbeiten mit elektrischem Strom oder Feuer nach § 16 Absatz 6 Satz 1 Nummer 2 der Gefahrgutverordnung Straße, Eisenbahn und Binnenschifffahrt in Verbindung mit Abschnitt 8.3.5 des Übereinkommens über die internationale Beförderung von gefährlichen Gütern auf Binnenwasserstraßen für den Bereich der Häfen,</w:t>
      </w:r>
    </w:p>
    <w:p>
      <w:r>
        <w:t xml:space="preserve">3. die Entgegennahme der Meldungen über erhöhte Konzentrationen an Schwefelwasserstroff nach § 16 Absatz 6 Satz 1 Nummer 3 der Gefahrgutverordnung Straße, Eisenbahn und Binnenschifffahrt in Verbindung mit Unterabschnitt 3.2.3.2 Tabelle C Spalte 20 Nummer 28 Buchstabe b des Übereinkommens über die internationale Beförderung von gefährlichen Gütern auf Binnenwasserstraßen bei der Beförderung von UN 2448 für den Bereich der Häfen und</w:t>
      </w:r>
    </w:p>
    <w:p>
      <w:r>
        <w:t xml:space="preserve">4. die Entgegennahme der Informationen und Mitteilungen nach § 16 Absatz 6 Satz 1 Nummer 5 der Gefahrgutverordnung Straße, Eisenbahn und Binnenschifffahrt in Verbindung mit Unterabschnitt 1.7.6.1 Buchstabe b Gliederungseinheit iv und Buchstabe c des Übereinkommens über die internationale Beförderung von gefährlichen Gütern auf Binnenwasserstraßen für den Bereich der Häfen.</w:t>
      </w:r>
    </w:p>
    <w:p>
      <w:r>
        <w:rPr>
          <w:color w:val="555555"/>
          <w:sz w:val="17"/>
        </w:rPr>
        <w:t xml:space="preserve">Zitiervorschlag: § 52a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https://recht.nulegal.eu/gesetze/NW_31595/52a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