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Kreispolizeibehörden sind zuständige Behörden nach Kapitel 8.4 in Verbindung mit Kapitel 8.5 S 1 Absatz 6 und S 14 bis S 24 sowie Kapitel 8.5 S 1 Absatz 4 und 5 der Anlage B des Übereinkommens über die Internationale Beförderung gefährlicher Güter auf der Straße.</w:t>
      </w:r>
    </w:p>
    <w:p>
      <w:r>
        <w:t xml:space="preserve">(2) Die Zuständigkeit für die Verfolgung der in den § 50 Absatz 3 und § 51 Absatz 1 Nummer 3 genannten Ordnungswidrigkeiten wird auch der Polizei übertragen, solange diese die Sache nicht an die nach den § 50 Absatz 3 und § 51 Absatz 1 Nummer 3 zuständigen Behörden oder an die Staatsanwaltschaft abgegeben hat.</w:t>
      </w:r>
    </w:p>
    <w:p>
      <w:r>
        <w:rPr>
          <w:color w:val="555555"/>
          <w:sz w:val="17"/>
        </w:rPr>
        <w:t xml:space="preserve">Zitiervorschlag: § 52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