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Straßenverkehrsbehörden im Sinne des § 44 Absatz 1 Satz 1 der Straßenverkehrs-Ordnung vom 6. März 2013 (BGBl. I S. 367) in der jeweils geltenden Fassung sind die Kreisordnungsbehörden.</w:t>
      </w:r>
    </w:p>
    <w:p>
      <w:r>
        <w:rPr>
          <w:color w:val="555555"/>
          <w:sz w:val="17"/>
        </w:rPr>
        <w:t xml:space="preserve">Zitiervorschlag: § 5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