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Wasserschutzpolizei ist zuständig für</w:t>
      </w:r>
    </w:p>
    <w:p>
      <w:r>
        <w:t xml:space="preserve">1. die Überwachung der Beförderung gefährlicher Güter nach § 9 Absatz 1 des Gefahrgutbeförderungsgesetzes während des Vorgangs der Ortsveränderung auf Binnenwasserstraßen und in Häfen, soweit nicht die Behörden nach § 43 Absatz 1 Nummer 1, Absatz 2 Nummer 1 und § 44 zuständig sind und</w:t>
      </w:r>
    </w:p>
    <w:p>
      <w:r>
        <w:t xml:space="preserve">2. die Überwachung der Beförderung gefährlicher Güter nach § 9 Absatz 1 des Gefahrgutbeförderungsgesetzes während der Vorgänge der Übernahme und Ablieferung der Güter, des Verpackens und Auspackens der Güter, sowie des Be- und Entladens der Beförderungsmittel in den Umschlagsanlagen in den Häfen, es sei denn, es handelt sich um einen vom Bund betriebenen Stromhafen an einer Bundeswasserstraße.</w:t>
      </w:r>
    </w:p>
    <w:p>
      <w:r>
        <w:rPr>
          <w:color w:val="555555"/>
          <w:sz w:val="17"/>
        </w:rPr>
        <w:t xml:space="preserve">Zitiervorschlag: § 46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https://recht.nulegal.eu/gesetze/NW_31595/46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