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45 NW_31595 (Nordrhein-Westfalen)</w:t>
      </w:r>
    </w:p>
    <w:p>
      <w:r>
        <w:rPr>
          <w:color w:val="555555"/>
          <w:sz w:val="18"/>
        </w:rPr>
        <w:t xml:space="preserve">Verordnung über Zuständigkeiten im Bereich Straßenverkehr und Güterbeförderung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örtlichen Ordnungsbehörden (Hafenbehörden) sind zuständig für</w:t>
      </w:r>
    </w:p>
    <w:p>
      <w:r>
        <w:t xml:space="preserve">1. die Überwachung der Beförderung gefährlicher Güter nach § 9 Absatz 1 des Gefahrgutbeförderungsgesetzes während des Vorgangs der Ortsveränderung in Häfen,</w:t>
      </w:r>
    </w:p>
    <w:p>
      <w:r>
        <w:t xml:space="preserve">2. die Überwachung der Beförderung gefährlicher Güter nach § 9 Absatz 1 des Gefahrgutbeförderungsgesetzes während der Vorgänge der Übernahme und Ablieferung der Güter, des Verpackens und Auspackens der Güter sowie des Be- und Entladens der Beförderungsmittel in den Umschlagsanlagen in den Häfen, soweit nicht nach § 5 Absatz 1 des Gefahrgutbeförderungsgesetzes dessen Durchführung dem Bund in bundeseigener Verwaltung obliegt und</w:t>
      </w:r>
    </w:p>
    <w:p>
      <w:r>
        <w:t xml:space="preserve">3. die Verfolgung und Ahndung von Ordnungswidrigkeiten nach § 10 Absatz 1 Nummer 3 bis 5 des Gefahrgutbeförderungsgesetzes für den Bereich der Binnenhäfen einschließlich der dort befindlichen Umschlagsanlagen, soweit nicht die Zuständigkeit des Bundesamtes für Güterverkehr nach § 10 Absatz 3 des Gefahrgutbeförderungsgesetzes gegeben ist.</w:t>
      </w:r>
    </w:p>
    <w:p>
      <w:r>
        <w:rPr>
          <w:color w:val="555555"/>
          <w:sz w:val="17"/>
        </w:rPr>
        <w:t xml:space="preserve">Zitiervorschlag: § 45 NW_31595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https://recht.nulegal.eu/gesetze/NW_31595/45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