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41 NW_31595 (Nordrhein-Westfalen)</w:t>
      </w:r>
    </w:p>
    <w:p>
      <w:r>
        <w:rPr>
          <w:color w:val="555555"/>
          <w:sz w:val="18"/>
        </w:rPr>
        <w:t xml:space="preserve">Verordnung über Zuständigkeiten im Bereich Straßenverkehr und Güterbeförderung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Kreisordnungsbehörden sind unbeschadet der Zuständigkeit des Bundesamtes für Güterverkehr nach Artikel 7 Absatz 4 des Gesetzes zu dem Übereinkommen vom 2. Dezember 1972 über sichere Container zuständig für die Verfolgung und Ahndung von Ordnungswidrigkeiten nach Artikel 7 Absatz 1 und 3 Satz 1 des Gesetzes zu dem Übereinkommen vom 2. Dezember 1972 über sichere Container in Verbindung mit § 36 Absatz 1 Nummer 1 des Gesetzes über Ordnungswidrigkeiten.</w:t>
      </w:r>
    </w:p>
    <w:p>
      <w:r>
        <w:t xml:space="preserve">(2) Daneben sind zur Verfolgung dieser Ordnungswidrigkeiten auch die Polizeibehörden zuständig, solange sie die Sache nicht an die Kreisordnungsbehörde, das Bundesamt für Güterverkehr oder an die Staatsanwaltschaft abgegeben haben.</w:t>
      </w:r>
    </w:p>
    <w:p>
      <w:r>
        <w:rPr>
          <w:color w:val="555555"/>
          <w:sz w:val="17"/>
        </w:rPr>
        <w:t xml:space="preserve">Zitiervorschlag: § 41 NW_31595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https://recht.nulegal.eu/gesetze/NW_31595/41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