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Bezirksregierungen sind</w:t>
      </w:r>
    </w:p>
    <w:p>
      <w:r>
        <w:t xml:space="preserve">1. zuständig für die Übermittlung von Daten nach § 15 Absatz 2 des Güterkraftverkehrsgesetzes betreffend den gewerblichen Personenverkehr und</w:t>
      </w:r>
    </w:p>
    <w:p>
      <w:r>
        <w:t xml:space="preserve">2. Meldestellen nach § 16 Absatz 3 Satz 1 des Güterkraftverkehrsgesetzes betreffend den gewerblichen Personenverkehr.</w:t>
      </w:r>
    </w:p>
    <w:p>
      <w:r>
        <w:rPr>
          <w:color w:val="555555"/>
          <w:sz w:val="17"/>
        </w:rPr>
        <w:t xml:space="preserve">Zitiervorschlag: § 39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