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Kreisordnungsbehörden sind nach § 3 Absatz 7 Satz 1 des Güterkraftverkehrsgesetzes vom 22. Juni 1998 (BGBl. I S. 1485) in der jeweils geltenden Fassung zuständig für die Ausführung</w:t>
      </w:r>
    </w:p>
    <w:p>
      <w:r>
        <w:t xml:space="preserve">1. des Güterkraftverkehrsgesetzes,</w:t>
      </w:r>
    </w:p>
    <w:p>
      <w:r>
        <w:t xml:space="preserve">2. der Berufszugangsverordnung für den Güterkraftverkehr vom 21. Dezember 2011 (BGBl. I S. 3120) in der jeweils geltenden Fassung,</w:t>
      </w:r>
    </w:p>
    <w:p>
      <w:r>
        <w:t xml:space="preserve">3. der Verordnung über den grenzüberschreitenden Güterkraftverkehr und den Kabotageverkehr vom 28. Dezember 2011 (BGBl. 2012 I S. 42) in der jeweils geltenden Fassung,</w:t>
      </w:r>
    </w:p>
    <w:p>
      <w:r>
        <w:t xml:space="preserve">4. der Verordnung (EG) Nr. 1071/2009 des Europäischen Parlaments und des Rates vom 21. Oktober 2009 zur Festlegung gemeinsamer Regeln für die Zulassung zum Beruf des Kraftverkehrsunternehmers und zur Aufhebung der Richtlinie 96/26/EG des Rates (ABl. L 300 vom 14.11.2009, S. 51) in der jeweils geltenden Fassung und</w:t>
      </w:r>
    </w:p>
    <w:p>
      <w:r>
        <w:t xml:space="preserve">5. der Verordnung (EG) Nr. 1072/2009 des Europäischen Parlaments und des Rates vom 21. Oktober 2009 über gemeinsame Regeln für den Zugang zum Markt des grenzüberschreitenden Güterkraftverkehrs (ABl. L 300 vom 14.11.2009, S. 72) in der jeweils geltenden Fassung,</w:t>
      </w:r>
    </w:p>
    <w:p>
      <w:r>
        <w:t xml:space="preserve">soweit nichts Abweichendes bestimmt ist.</w:t>
      </w:r>
    </w:p>
    <w:p>
      <w:r>
        <w:rPr>
          <w:color w:val="555555"/>
          <w:sz w:val="17"/>
        </w:rPr>
        <w:t xml:space="preserve">Zitiervorschlag: § 37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