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zuständig</w:t>
      </w:r>
    </w:p>
    <w:p>
      <w:r>
        <w:t xml:space="preserve">1. für die Übertragung der Anordnungsbefugnis für die Transportbegleitung nach § 2 Absatz 1 der Straßenverkehr-Transportbegleitungsverordnung vom 28. August 2023 (BGBl. 2023 I Nr. 236) in der jeweils geltenden Fassung und</w:t>
      </w:r>
    </w:p>
    <w:p>
      <w:r>
        <w:t xml:space="preserve">2. für die Ausstellung der Ausweise über die Aus- und Fortbildung nach § 7 Absatz 4 der Straßenverkehr-Transportbegleitungsverordnung.</w:t>
      </w:r>
    </w:p>
    <w:p>
      <w:r>
        <w:rPr>
          <w:color w:val="555555"/>
          <w:sz w:val="17"/>
        </w:rPr>
        <w:t xml:space="preserve">Zitiervorschlag: § 36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