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Behörden zur Ausführung des Berufskraftfahrerqualifikationsgesetzes vom 26. November 2020 (BGBl. I S. 2575) in der jeweils geltenden Fassung und der darauf beruhenden Rechtsverordnung gemäß § 27 Absatz 1 des Berufskraftfahrerqualifikationsgesetzes sind die Bezirksregierungen, soweit sich aus § 33 nichts anderes ergibt.</w:t>
      </w:r>
    </w:p>
    <w:p>
      <w:r>
        <w:t xml:space="preserve">(2) Die Bezirksregierungen sind zuständig für die Verfolgung von Ordnungswidrigkeiten gemäß § 36 Absatz 1 Nummer 2 Buchstabe a, Absatz 2 Satz 1 des Gesetzes über Ordnungswidrigkeiten in Verbindung mit § 28 Absatz 2 Nummern 3 bis 7 des Berufskraftfahrerqualifikationsgesetzes. Sie sind gleichermaßen zuständig, wenn es sich um Ausbildungsbetriebe oder Bildungseinrichtungen handelt, die im Rahmen der Übergangsvorschrift von § 30 Absatz 1 des Berufskraftfahrerqualifikationsgesetzes tätig sind.</w:t>
      </w:r>
    </w:p>
    <w:p>
      <w:r>
        <w:rPr>
          <w:color w:val="555555"/>
          <w:sz w:val="17"/>
        </w:rPr>
        <w:t xml:space="preserve">Zitiervorschlag: § 32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