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Bezirksregierungen sind zuständig für</w:t>
      </w:r>
    </w:p>
    <w:p>
      <w:r>
        <w:t xml:space="preserve">1. die Erteilung der Seminarerlaubnis Verkehrspsychologie nach § 4a Absatz 3 und 4 des Straßenverkehrsgesetzes sowie deren Rücknahme oder Widerruf nach § 4a Absatz 5 des Straßenverkehrsgesetzes,</w:t>
      </w:r>
    </w:p>
    <w:p>
      <w:r>
        <w:t xml:space="preserve">2. die Überwachung der Durchführung der verkehrspsychologischen Teilmaßnahme des Fahreignungsseminars nach § 4a Absatz 8 Satz 1 des Straßenverkehrsgesetzes in Verbindung mit § 43 Absatz 1 der Fahrerlaubnis-Verordnung vom 13. Dezember 2010 (BGBl. I S. 1980) in der jeweils geltenden Fassung,</w:t>
      </w:r>
    </w:p>
    <w:p>
      <w:r>
        <w:t xml:space="preserve">3. die Anerkennung von Qualitätssicherungssystemen nach § 4a Absatz 8 Satz 6 des Straßenverkehrsgesetzes in Verbindung mit § 43a der Fahrerlaubnis-Verordnung,</w:t>
      </w:r>
    </w:p>
    <w:p>
      <w:r>
        <w:t xml:space="preserve">4. die Entscheidung über die Schadensbeseitigung und die Entschädigungsleistung nach § 5b Absatz 6 des Straßenverkehrsgesetzes,</w:t>
      </w:r>
    </w:p>
    <w:p>
      <w:r>
        <w:t xml:space="preserve">5. die Tilgung von Eintragungen im Fahreignungsregister nach § 29 Absatz 3 Nummer 2 des Straßenverkehrsgesetzes und</w:t>
      </w:r>
    </w:p>
    <w:p>
      <w:r>
        <w:t xml:space="preserve">6. die Entscheidung über das Festhalten an einer Übermittlungssperre nach § 41 Absatz 5 Satz 2 des Straßenverkehrsgesetzes.</w:t>
      </w:r>
    </w:p>
    <w:p>
      <w:r>
        <w:rPr>
          <w:color w:val="555555"/>
          <w:sz w:val="17"/>
        </w:rPr>
        <w:t xml:space="preserve">Zitiervorschlag: § 3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