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zuständig für</w:t>
      </w:r>
    </w:p>
    <w:p>
      <w:r>
        <w:t xml:space="preserve">1. die Anerkennung von Berufsverbänden der Fahrlehrer zur Durchführung von Einweisungsseminaren nach § 16 Absatz 1 Satz 2 des Fahrlehrergesetzes,</w:t>
      </w:r>
    </w:p>
    <w:p>
      <w:r>
        <w:t xml:space="preserve">2. die Anerkennung der Träger von Einweisungslehrgängen nach § 45 Absatz 3 Satz 2 des Fahrlehrergesetzes,</w:t>
      </w:r>
    </w:p>
    <w:p>
      <w:r>
        <w:t xml:space="preserve">3. die Anerkennung zur Durchführung von Einweisungslehrgängen nach § 47 Absatz 1 Satz 1 des Fahrlehrergesetzes,</w:t>
      </w:r>
    </w:p>
    <w:p>
      <w:r>
        <w:t xml:space="preserve">4. die Überwachung der Anbieter von Einweisungslehrgängen nach § 47 Absatz 1 in Verbindung mit § 51 des Fahrlehrergesetzes,</w:t>
      </w:r>
    </w:p>
    <w:p>
      <w:r>
        <w:t xml:space="preserve">5. die Anerkennung der Träger zur Durchführung von Einführungsseminaren für Lehrgangsleiterinnen und Lehrgangsleiter nach § 48 des Fahrlehrergesetzes,</w:t>
      </w:r>
    </w:p>
    <w:p>
      <w:r>
        <w:t xml:space="preserve">6. die Überwachung der Anbieter von Einführungsseminaren für Lehrgangsleiterinnen und Lehrgangsleiter nach § 48 in Verbindung mit § 51 Absatz 1 Satz 1 des Fahrlehrergesetzes,</w:t>
      </w:r>
    </w:p>
    <w:p>
      <w:r>
        <w:t xml:space="preserve">7. die Überwachung der Durchführung von Einführungsseminaren für Lehrgangsleiterinnen und Lehrgangsleiter nach § 48 in Verbindung mit § 51 Absatz 3 des Fahrlehrergesetzes,</w:t>
      </w:r>
    </w:p>
    <w:p>
      <w:r>
        <w:t xml:space="preserve">8. die Anerkennung der Träger von Fortbildungslehrgängen nach § 53 Absatz 10 des Fahrlehrergesetzes,</w:t>
      </w:r>
    </w:p>
    <w:p>
      <w:r>
        <w:t xml:space="preserve">9. die Genehmigung von Qualitätssicherungssystemen nach § 51 Absatz 7 des Fahrlehrergesetzes in Verbindung mit § 43a der Fahrerlaubnis-Verordnung und</w:t>
      </w:r>
    </w:p>
    <w:p>
      <w:r>
        <w:t xml:space="preserve">10. die Genehmigung von Rahmenlehrplänen nach § 15 Absatz 2 Satz 2 und Absatz 3 Satz 2 der Durchführungsverordnung zum Fahrlehrergesetz vom 2. Januar 2018 (BGBl. I S. 2) in der jeweils geltenden Fassung in Verbindung mit § 51 Absatz 1 Satz 1 des Fahrlehrergesetzes.</w:t>
      </w:r>
    </w:p>
    <w:p>
      <w:r>
        <w:rPr>
          <w:color w:val="555555"/>
          <w:sz w:val="17"/>
        </w:rPr>
        <w:t xml:space="preserve">Zitiervorschlag: § 29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