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Behörden zur Ausführung des Fahrlehrergesetzes vom 30. Juni 2017 (BGBl. I S. 2162, 3784) in der jeweils geltenden Fassung und der darauf beruhenden Rechtsverordnungen gemäß § 50 Absatz 1 des Fahrlehrergesetzes sind die Kreisordnungsbehörden, soweit sich aus Absatz 2 sowie § 29 und § 30 nichts anderes ergibt.</w:t>
      </w:r>
    </w:p>
    <w:p>
      <w:r>
        <w:t xml:space="preserve">(2) Im Dienstbereich der Polizei nehmen die Polizeibehörden und -einrichtungen die Aufgaben der Erlaubnisbehörden wahr.</w:t>
      </w:r>
    </w:p>
    <w:p>
      <w:r>
        <w:t xml:space="preserve">(3) Zuständige Verwaltungsbehörden im Sinne des § 36 Absatz 1 Nummer 1 des Gesetzes über Ordnungswidrigkeiten in der Fassung der Bekanntmachung vom 19. Februar 1987 (BGBl. I S. 602) in der jeweils geltenden Fassung in Verbindung mit § 50 Absatz 1 und § 56 des Fahrlehrergesetzes sind die Kreisordnungsbehörden.</w:t>
      </w:r>
    </w:p>
    <w:p>
      <w:r>
        <w:rPr>
          <w:color w:val="555555"/>
          <w:sz w:val="17"/>
        </w:rPr>
        <w:t xml:space="preserve">Zitiervorschlag: § 28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NW_31595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