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Landesinnungsverbände für das Augenoptiker-Handwerk sind nach § 67 Absatz 4 Satz 5 der Fahrerlaubnis-Verordnung zuständig für</w:t>
      </w:r>
    </w:p>
    <w:p>
      <w:r>
        <w:t xml:space="preserve">1. die Bestimmung von Auflagen zur ordnungsgemäßen Durchführung von Sehtests nach § 67 Absatz 4 Satz 2 der Fahrerlaubnis-Verordnung,</w:t>
      </w:r>
    </w:p>
    <w:p>
      <w:r>
        <w:t xml:space="preserve">2. die Rücknahme und den Widerruf der Anerkennung als Sehteststelle nach § 67 Absatz 4 Satz 3 der Fahrerlaubnis-Verordnung und</w:t>
      </w:r>
    </w:p>
    <w:p>
      <w:r>
        <w:t xml:space="preserve">3. die Aufsicht über die Sehteststellen bei den amtlich anerkannten Betrieben von Augenoptikern nach § 67 Absatz 4 Satz 4 der Fahrerlaubnis-Verordnung.</w:t>
      </w:r>
    </w:p>
    <w:p>
      <w:r>
        <w:rPr>
          <w:color w:val="555555"/>
          <w:sz w:val="17"/>
        </w:rPr>
        <w:t xml:space="preserve">Zitiervorschlag: § 26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