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Kreisordnungsbehörden sind zuständig für</w:t>
      </w:r>
    </w:p>
    <w:p>
      <w:r>
        <w:t xml:space="preserve">1. die Entgegennahme der Bescheinigung über die Teilnahme an einer verkehrspsychologischen Beratung nach § 2a Absatz 7 Satz 6 des Straßenverkehrsgesetzes,</w:t>
      </w:r>
    </w:p>
    <w:p>
      <w:r>
        <w:t xml:space="preserve">2. die Ergreifung von Maßnahmen nach dem Fahreignungsbewertungssystem gemäß § 4 Absatz 1 Satz 1 in Verbindung mit Absatz 5 des Straßenverkehrsgesetzes,</w:t>
      </w:r>
    </w:p>
    <w:p>
      <w:r>
        <w:t xml:space="preserve">3. die Entgegennahme der Bescheinigung über die freiwillige Teilnahme an einem Fahreignungsseminar nach § 4 Absatz 7 Satz 1 des Straßenverkehrsgesetzes,</w:t>
      </w:r>
    </w:p>
    <w:p>
      <w:r>
        <w:t xml:space="preserve">4. die Entgegennahme von Mitteilungen des Kraftfahrt-Bundesamtes nach § 4 Absatz 8 Satz 1 des Straßenverkehrsgesetzes,</w:t>
      </w:r>
    </w:p>
    <w:p>
      <w:r>
        <w:t xml:space="preserve">5. die Anordnung zur Beibringung eines Gutachtens einer amtlich anerkannten Begutachtungsstelle für Fahreignung nach § 4 Absatz 10 Satz 4 des Straßenverkehrsgesetzes,</w:t>
      </w:r>
    </w:p>
    <w:p>
      <w:r>
        <w:t xml:space="preserve">6. den Empfang einer Mitteilung über eine Eintragung im Fahreignungsregister nach § 29 Absatz 7 Satz 2 des Straßenverkehrsgesetzes und</w:t>
      </w:r>
    </w:p>
    <w:p>
      <w:r>
        <w:t xml:space="preserve">7. den Empfang sowie die Nutzung einer Entscheidung der Gerichte gemäß §§ 69 bis 69b des Strafgesetzbuches nach § 29 Absatz 7 Satz 3 des Straßenverkehrsgesetzes.</w:t>
      </w:r>
    </w:p>
    <w:p>
      <w:r>
        <w:rPr>
          <w:color w:val="555555"/>
          <w:sz w:val="17"/>
        </w:rPr>
        <w:t xml:space="preserve">Zitiervorschlag: § 2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