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Kreisordnungsbehörden sind zuständig für</w:t>
      </w:r>
    </w:p>
    <w:p>
      <w:r>
        <w:t xml:space="preserve">1. die Anordnung von Übermittlungssperren nach § 71 Absatz 1 Satz 1 der Fahrzeug-Zulassungsverordnung,</w:t>
      </w:r>
    </w:p>
    <w:p>
      <w:r>
        <w:t xml:space="preserve">2. die Erteilung der Zustimmung nach § 75 Absatz 4 Satz 1 der Fahrzeug-Zulassungsverordnung und</w:t>
      </w:r>
    </w:p>
    <w:p>
      <w:r>
        <w:t xml:space="preserve">3. die Erteilung von Ausnahmegenehmigungen nach § 76 Absatz 1 der Fahrzeug-Zulassungsverordnung soweit in § 19 nichts anderes bestimmt ist.</w:t>
      </w:r>
    </w:p>
    <w:p>
      <w:r>
        <w:t xml:space="preserve">Die Kreisordnungsbehörden können die für das Meldewesen örtlich zuständige Gemeinde durch öffentlich-rechtlichen Vertrag beauftragen, in den Fahrzeugpapieren Namensänderungen oder Änderungen der Adresse bei Wohnortwechsel innerhalb des Landkreises vorzunehmen.</w:t>
      </w:r>
    </w:p>
    <w:p>
      <w:r>
        <w:rPr>
          <w:color w:val="555555"/>
          <w:sz w:val="17"/>
        </w:rPr>
        <w:t xml:space="preserve">Zitiervorschlag: § 18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