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NW_31595 (Nordrhein-Westfalen)</w:t>
      </w:r>
    </w:p>
    <w:p>
      <w:r>
        <w:rPr>
          <w:color w:val="555555"/>
          <w:sz w:val="18"/>
        </w:rPr>
        <w:t xml:space="preserve">Verordnung über Zuständigkeiten im Bereich Straßenverkehr und Güterbeförderung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Genehmigungsbehörden für Einzelgenehmigungen nach § 2 Absatz 2 in Verbindung mit § 13 der EG-Fahrzeuggenehmigungsverordnung vom 3. Februar 2011 (BGBl. I S. 126) in der jeweils geltenden Fassung sind die Kreisordnungsbehörden.</w:t>
      </w:r>
    </w:p>
    <w:p>
      <w:r>
        <w:rPr>
          <w:color w:val="555555"/>
          <w:sz w:val="17"/>
        </w:rPr>
        <w:t xml:space="preserve">Zitiervorschlag: § 16 NW_31595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https://recht.nulegal.eu/gesetze/NW_31595/16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