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Behörden nach § 68 Absatz 1 der Straßenverkehrs-Zulassungs-Ordnung vom 26. April 2012 (BGBl. I S. 679) in der jeweils geltenden Fassung sind die Kreisordnungsbehörden, soweit nicht in §§ 14 und 15 eine andere Zuständigkeit bestimmt ist.</w:t>
      </w:r>
    </w:p>
    <w:p>
      <w:r>
        <w:t xml:space="preserve">(2) Höhere Verwaltungsbehörden im Sinne des § 70 Absatz 1 Nummer 1 der Straßenverkehrs-Zulassungs-Ordnung sind die Bezirksregierungen.</w:t>
      </w:r>
    </w:p>
    <w:p>
      <w:r>
        <w:rPr>
          <w:color w:val="555555"/>
          <w:sz w:val="17"/>
        </w:rPr>
        <w:t xml:space="preserve">Zitiervorschlag: § 12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