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NW_31593 (Nordrhein-Westfalen) — Inkrafttreten</w:t>
      </w:r>
    </w:p>
    <w:p>
      <w:r>
        <w:rPr>
          <w:color w:val="555555"/>
          <w:sz w:val="18"/>
        </w:rPr>
        <w:t xml:space="preserve">Gesetz zur Erprobung von Zeitwertkonten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2016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Finanzminister</w:t>
      </w:r>
    </w:p>
    <w:p>
      <w:r>
        <w:t xml:space="preserve">Der Minister</w:t>
      </w:r>
    </w:p>
    <w:p>
      <w:r>
        <w:t xml:space="preserve">für Wirtschaft, Energie, Industrie,</w:t>
      </w:r>
    </w:p>
    <w:p>
      <w:r>
        <w:t xml:space="preserve">Mittelstand und Handwerk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Der Justizminister</w:t>
      </w:r>
    </w:p>
    <w:p>
      <w:r>
        <w:t xml:space="preserve">Der Minister</w:t>
      </w:r>
    </w:p>
    <w:p>
      <w:r>
        <w:t xml:space="preserve">für Klimaschutz, Umwelt, Landwirtschaft,</w:t>
      </w:r>
    </w:p>
    <w:p>
      <w:r>
        <w:t xml:space="preserve">Natur- und Verbraucherschutz</w:t>
      </w:r>
    </w:p>
    <w:p>
      <w:r>
        <w:t xml:space="preserve">Der Minister</w:t>
      </w:r>
    </w:p>
    <w:p>
      <w:r>
        <w:t xml:space="preserve">für Bauen, Wohnen, Stadtentwicklung und Verkehr</w:t>
      </w:r>
    </w:p>
    <w:p>
      <w:r>
        <w:t xml:space="preserve">Die Ministerin</w:t>
      </w:r>
    </w:p>
    <w:p>
      <w:r>
        <w:t xml:space="preserve">für Innovation, Wissenschaft und Forschung</w:t>
      </w:r>
    </w:p>
    <w:p>
      <w:r>
        <w:t xml:space="preserve">Die Ministerin</w:t>
      </w:r>
    </w:p>
    <w:p>
      <w:r>
        <w:t xml:space="preserve">für Familie, Kinder, Jugend, Kultur und Sport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Der Minister</w:t>
      </w:r>
    </w:p>
    <w:p>
      <w:r>
        <w:t xml:space="preserve">für Bundesangelegenheiten, Europa und Medien</w:t>
      </w:r>
    </w:p>
    <w:p>
      <w:r>
        <w:t xml:space="preserve">und Chef der Staatskanzlei</w:t>
      </w:r>
    </w:p>
    <w:p>
      <w:r>
        <w:rPr>
          <w:color w:val="555555"/>
          <w:sz w:val="17"/>
        </w:rPr>
        <w:t xml:space="preserve">Zitiervorschlag: § 3 NW_31593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