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NW_31592 (Nordrhein-Westfalen) — Kompetenz- und Koordinierungsstelle</w:t>
      </w:r>
    </w:p>
    <w:p>
      <w:r>
        <w:rPr>
          <w:color w:val="555555"/>
          <w:sz w:val="18"/>
        </w:rPr>
        <w:t xml:space="preserve">IGG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dem für den Bereich der Politik für und mit Menschen mit Behinderungen federführend zuständigen Ministerium wird eine Kompetenz- und Koordinierungsstelle eingerichtet.</w:t>
      </w:r>
    </w:p>
    <w:p>
      <w:r>
        <w:t xml:space="preserve">(2) Diese koordiniert die Maßnahmen zur Umsetzung der UN-Behindertenrechtskonvention in den verschiedenen Politikfeldern. Zudem achtet die Kompetenz- und Koordinierungsstelle auf die Einhaltung der Beteiligungspflichten nach § 9.</w:t>
      </w:r>
    </w:p>
    <w:p>
      <w:r>
        <w:t xml:space="preserve">(3) Die oder der Landesbehindertenbeauftragte ist in die Arbeit der Kompetenz- und Koordinierungsstelle einzubinden.</w:t>
      </w:r>
    </w:p>
    <w:p>
      <w:r>
        <w:rPr>
          <w:color w:val="555555"/>
          <w:sz w:val="17"/>
        </w:rPr>
        <w:t xml:space="preserve">Zitiervorschlag: § 8 NW_31592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https://recht.nulegal.eu/gesetze/NW_31592/8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