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NW_31592 (Nordrhein-Westfalen) — Anforderungen an die Gesetzgebung</w:t>
      </w:r>
    </w:p>
    <w:p>
      <w:r>
        <w:rPr>
          <w:color w:val="555555"/>
          <w:sz w:val="18"/>
        </w:rPr>
        <w:t xml:space="preserve">IGG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Umsetzung einer den Anforderungen an eine inklusive Gesellschaft genügenden Gesetzgebung sollen besondere gesetzliche Regelungen, die ausschließlich auf Menschen mit Behinderungen Anwendung finden, vermieden und Anforderungen, die sich aus besonderen Belangen von Menschen mit Behinderungen ergeben, unmittelbar in den jeweiligen fachgesetzlichen Regelungen getroffen werden.</w:t>
      </w:r>
    </w:p>
    <w:p>
      <w:r>
        <w:t xml:space="preserve">(2) Die Landesregierung prüft vor Einbringung eines Gesetzes in den Landtag, dass die Bestimmungen dieses Gesetzes der UN-Behindertenrechtskonvention entsprechen. Die Auswirkungen eines Gesetzes auf Menschen mit Behinderungen sind jeweils im Gesetz aufzuzeigen.</w:t>
      </w:r>
    </w:p>
    <w:p>
      <w:r>
        <w:rPr>
          <w:color w:val="555555"/>
          <w:sz w:val="17"/>
        </w:rPr>
        <w:t xml:space="preserve">Zitiervorschlag: § 6 NW_31592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https://recht.nulegal.eu/gesetze/NW_31592/6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NW_31592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