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NW_31592 (Nordrhein-Westfalen) — Allgemeine Grundsätze für die Träger öffentlicher Belange</w:t>
      </w:r>
    </w:p>
    <w:p>
      <w:r>
        <w:rPr>
          <w:color w:val="555555"/>
          <w:sz w:val="18"/>
        </w:rPr>
        <w:t xml:space="preserve">IGG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Herstellung inklusiver Lebensverhältnisse ist eine gesamtgesellschaftliche Aufgabe. Alle Träger öffentlicher Belange wirken als Teil der Gesellschaft an der Gestaltung inklusiver Lebensverhältnisse im Sinne von § 1 Absatz 2 mit und beteiligen sich aktiv an der Bewusstseinsbildung im Sinne von Artikel 8 der UN-Behindertenrechtskonvention.</w:t>
      </w:r>
    </w:p>
    <w:p>
      <w:r>
        <w:t xml:space="preserve">(2) Sie tragen den spezifischen Bedürfnissen von Menschen mit Behinderungen Rechnung. Dabei sind die in Artikel 3 der UN-Behindertenrechtskonvention verankerten Grundsätze von ihnen zu beachten.</w:t>
      </w:r>
    </w:p>
    <w:p>
      <w:r>
        <w:t xml:space="preserve">(3) Die Träger arbeiten bei der schrittweisen Verwirklichung der Ziele dieses Gesetzes zusammen und unterstützen sich gegenseitig.</w:t>
      </w:r>
    </w:p>
    <w:p>
      <w:r>
        <w:t xml:space="preserve">(4) Sie wirken darauf hin, dass Einrichtungen, Vereinigungen und juristische Personen des Privatrechts, an denen die Träger öffentlicher Belange unmittelbar oder mittelbar beteiligt sind, die Ziele dieses Gesetzes verfolgen. Soweit die Träger öffentlicher Belange Aufgaben durch Dritte durchführen lassen, haben sie sicherzustellen, dass die Auftragnehmer die Ziele dieses Gesetzes beachten.</w:t>
      </w:r>
    </w:p>
    <w:p>
      <w:r>
        <w:t xml:space="preserve">(5) Bei der Gewährung von Zuwendungen und sonstigen Leistungen durch die Träger öffentlicher Belange sind die Ziele dieses Gesetzes in geeigneten Bereichen ebenfalls zu beachten.</w:t>
      </w:r>
    </w:p>
    <w:p>
      <w:r>
        <w:t xml:space="preserve">(6) Die Landesregierung ist verpflichtet, die in Nordrhein-Westfalen lebenden Menschen auf die gesamtgesellschaftliche Aufgabe der Herstellung inklusiver Lebensverhältnisse aufmerksam zu machen und sie für die Ziele der Inklusion zu sensibilisieren (Maßnahmen der Bewusstseinsbildung). Insbesondere erfasst die Landesregierung Beispiele gelungener inklusiver Praxis und macht sie bekannt (Inklusionskataster).</w:t>
      </w:r>
    </w:p>
    <w:p>
      <w:r>
        <w:rPr>
          <w:color w:val="555555"/>
          <w:sz w:val="17"/>
        </w:rPr>
        <w:t xml:space="preserve">Zitiervorschlag: § 5 NW_31592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https://recht.nulegal.eu/gesetze/NW_31592/5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