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NW_31592 (Nordrhein-Westfalen) — Menschen mit Behinderungen</w:t>
      </w:r>
    </w:p>
    <w:p>
      <w:r>
        <w:rPr>
          <w:color w:val="555555"/>
          <w:sz w:val="18"/>
        </w:rPr>
        <w:t xml:space="preserve">IGG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Menschen mit Behinderungen im Sinne dieses Gesetzes sind Menschen, die langfristige körperliche, seelische, geistige oder Sinnesbeeinträchtigungen haben, welche sie in Wechselwirkung mit verschiedenen Barrieren an der vollen, wirksamen und gleichberechtigten Teilhabe an der Gesellschaft hindern können. Als langfristig gilt in der Regel ein Zeitraum, der mit hoher Wahrscheinlichkeit länger als sechs Monate andauert.</w:t>
      </w:r>
    </w:p>
    <w:p>
      <w:r>
        <w:rPr>
          <w:color w:val="555555"/>
          <w:sz w:val="17"/>
        </w:rPr>
        <w:t xml:space="preserve">Zitiervorschlag: § 3 NW_31592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