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NW_31592 (Nordrhein-Westfalen) — Inkrafttreten, Berichtspflicht</w:t>
      </w:r>
    </w:p>
    <w:p>
      <w:r>
        <w:rPr>
          <w:color w:val="555555"/>
          <w:sz w:val="18"/>
        </w:rPr>
        <w:t xml:space="preserve">IGG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ersten Tag des auf die Verkündung folgenden Monats in Kraft.</w:t>
      </w:r>
    </w:p>
    <w:p>
      <w:r>
        <w:t xml:space="preserve">(2) Die Landesregierung berichtet dem Landtag zum 31. Dezember 2020 über die Erfahrungen mit diesem Gesetz.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Der Finanzminister</w:t>
      </w:r>
    </w:p>
    <w:p>
      <w:r>
        <w:t xml:space="preserve">Der Minister</w:t>
      </w:r>
    </w:p>
    <w:p>
      <w:r>
        <w:t xml:space="preserve">für Wirtschaft, Energie, Industrie,</w:t>
      </w:r>
    </w:p>
    <w:p>
      <w:r>
        <w:t xml:space="preserve">Mittelstand und Handwerk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Der Minister</w:t>
      </w:r>
    </w:p>
    <w:p>
      <w:r>
        <w:t xml:space="preserve">für Arbeit, Integration und Soziales</w:t>
      </w:r>
    </w:p>
    <w:p>
      <w:r>
        <w:t xml:space="preserve">Der Justizminister</w:t>
      </w:r>
    </w:p>
    <w:p>
      <w:r>
        <w:t xml:space="preserve">Der Minister</w:t>
      </w:r>
    </w:p>
    <w:p>
      <w:r>
        <w:t xml:space="preserve">für Klimaschutz, Umwelt, Landwirtschaft,</w:t>
      </w:r>
    </w:p>
    <w:p>
      <w:r>
        <w:t xml:space="preserve">Natur- und Verbraucherschutz</w:t>
      </w:r>
    </w:p>
    <w:p>
      <w:r>
        <w:t xml:space="preserve">Der Minister für Bauen, Wohnen,</w:t>
      </w:r>
    </w:p>
    <w:p>
      <w:r>
        <w:t xml:space="preserve">Stadtentwicklung und Verkehr</w:t>
      </w:r>
    </w:p>
    <w:p>
      <w:r>
        <w:t xml:space="preserve">Die Ministerin</w:t>
      </w:r>
    </w:p>
    <w:p>
      <w:r>
        <w:t xml:space="preserve">für Innovation, Wissenschaft und Forschung</w:t>
      </w:r>
    </w:p>
    <w:p>
      <w:r>
        <w:t xml:space="preserve">Die Ministerin</w:t>
      </w:r>
    </w:p>
    <w:p>
      <w:r>
        <w:t xml:space="preserve">für Familie, Kinder, Jugend, Kultur und Sport</w:t>
      </w:r>
    </w:p>
    <w:p>
      <w:r>
        <w:t xml:space="preserve">Die Ministerin</w:t>
      </w:r>
    </w:p>
    <w:p>
      <w:r>
        <w:t xml:space="preserve">für Gesundheit, Emanzipation, Pflege und Alter</w:t>
      </w:r>
    </w:p>
    <w:p>
      <w:r>
        <w:t xml:space="preserve">Der Minister</w:t>
      </w:r>
    </w:p>
    <w:p>
      <w:r>
        <w:t xml:space="preserve">für Bundesangelegenheiten, Europa und Medien</w:t>
      </w:r>
    </w:p>
    <w:p>
      <w:r>
        <w:t xml:space="preserve">und Chef der Staatskanzlei</w:t>
      </w:r>
    </w:p>
    <w:p>
      <w:r>
        <w:rPr>
          <w:color w:val="555555"/>
          <w:sz w:val="17"/>
        </w:rPr>
        <w:t xml:space="preserve">Zitiervorschlag: § 13 NW_31592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https://recht.nulegal.eu/gesetze/NW_31592/13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