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NW_31592 (Nordrhein-Westfalen) — Berichterstattung</w:t>
      </w:r>
    </w:p>
    <w:p>
      <w:r>
        <w:rPr>
          <w:color w:val="555555"/>
          <w:sz w:val="18"/>
        </w:rPr>
        <w:t xml:space="preserve">IGG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Landesregierung berichtet dem Landtag ein Mal in der Legislaturperiode über die Lebenssituation von Menschen mit Behinderungen und den Stand der Umsetzung der UN-Behindertenrechtskonvention.</w:t>
      </w:r>
    </w:p>
    <w:p>
      <w:r>
        <w:t xml:space="preserve">(2) § 14 des Behindertengleichstellungsgesetzes Nordrhein-Westfalen vom 16. Dezember 2003 (GV. NRW. S. 766), das zuletzt durch Artikel 3 des Gesetzes vom 18. November 2008 (GV. NRW. S. 738) geändert worden ist, bleibt unberührt.</w:t>
      </w:r>
    </w:p>
    <w:p>
      <w:r>
        <w:rPr>
          <w:color w:val="555555"/>
          <w:sz w:val="17"/>
        </w:rPr>
        <w:t xml:space="preserve">Zitiervorschlag: § 12 NW_31592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https://recht.nulegal.eu/gesetze/NW_31592/12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NW_31592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