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NW_31582 (Nordrhein-Westfalen)</w:t>
      </w:r>
    </w:p>
    <w:p>
      <w:r>
        <w:rPr>
          <w:color w:val="555555"/>
          <w:sz w:val="18"/>
        </w:rPr>
        <w:t xml:space="preserve">Verordnung über die Bestimmung der zuständigen Behörden nach den Verordnungen zur Sicherstellung des Straßen-, Eisenbahn-, Luft- und Binnenschiffsverkehrs und nach der Verkehrssicherstellungsgesetz-Zuständigkeitsverordnung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Zuständige Behörde im Sinne des § 4 Absatz 2 der Verordnung zur Sicherstellung des Binnenschiffsverkehrs vom 20. Januar 1981 (BGBl. I S. 101) in der jeweils geltenden Fassung ist das für den Verkehr zuständige Ministerium.</w:t>
      </w:r>
    </w:p>
    <w:p>
      <w:r>
        <w:t xml:space="preserve">(2) Zuständig nach § 8 Absatz 3 der Verordnung zur Sicherstellung des Binnenschiffsverkehrs sind die örtlichen Ordnungsbehörden als Hafenbehörden.</w:t>
      </w:r>
    </w:p>
    <w:p>
      <w:r>
        <w:rPr>
          <w:color w:val="555555"/>
          <w:sz w:val="17"/>
        </w:rPr>
        <w:t xml:space="preserve">Zitiervorschlag: § 3 NW_31582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https://recht.nulegal.eu/gesetze/NW_31582/3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