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Höhere Verwaltungsbehörden und höhere Verkehrsbehörden im Sinne der Verordnung zur Sicherstellung des Straßenverkehrs vom 23. September 1980 (BGBl. I S. 1795) in der jeweils geltenden Fassung sind die Bezirksregierungen.</w:t>
      </w:r>
    </w:p>
    <w:p>
      <w:r>
        <w:t xml:space="preserve">(2) Untere Straßenverkehrsbehörden und untere Verkehrsbehörden im Sinne der Verordnung zur Sicherstellung des Straßenverkehrs sind die Kreisordnungsbehörden.</w:t>
      </w:r>
    </w:p>
    <w:p>
      <w:r>
        <w:rPr>
          <w:color w:val="555555"/>
          <w:sz w:val="17"/>
        </w:rPr>
        <w:t xml:space="preserve">Zitiervorschlag: § 1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