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NW_31559 (Nordrhein-Westfalen)</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25. April 2016</w:t>
      </w:r>
    </w:p>
    <w:p>
      <w:r>
        <w:t xml:space="preserve">(Artikel 3 der Verordnung vom 25. April 2016 (GV. NRW. S. 216))</w:t>
      </w:r>
    </w:p>
    <w:p>
      <w:r>
        <w:t xml:space="preserve">Auf Grund des § 6 Absatz 2 des Landesbeamtengesetzes vom 21. April 2009 (GV. NRW. S. 224), der durch Artikel 1 des Gesetzes vom 17. Dezember 2015 (GV. NRW. S. 938) geändert worden ist, in Verbindung mit § 60 der Laufbahnverordnung vom 28. Januar 2014 (GV. NRW. S. 22, ber. S. 203), verordnet das Ministerium für Schule und Weiterbildung im Einvernehmen mit dem Ministerium für Inneres und Kommunales und dem Finanzministerium:</w:t>
      </w:r>
    </w:p>
    <w:p>
      <w:r>
        <w:rPr>
          <w:color w:val="555555"/>
          <w:sz w:val="17"/>
        </w:rPr>
        <w:t xml:space="preserve">Zitiervorschlag: Eingangsformel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