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NW_31559 (Nordrhein-Westfalen) — Zulassungsvoraussetzungen</w:t>
      </w:r>
    </w:p>
    <w:p>
      <w:r>
        <w:rPr>
          <w:color w:val="555555"/>
          <w:sz w:val="18"/>
        </w:rPr>
        <w:t xml:space="preserve">APO FLFS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Zum Ausbildungsgang kann zugelassen werden, wer</w:t>
      </w:r>
    </w:p>
    <w:p>
      <w:r>
        <w:t xml:space="preserve">1. einen mindestens Mittleren Schulabschluss (Fachoberschulreife) besitzt und</w:t>
      </w:r>
    </w:p>
    <w:p>
      <w:r>
        <w:t xml:space="preserve">2.</w:t>
      </w:r>
    </w:p>
    <w:p>
      <w:r>
        <w:t xml:space="preserve">a) nach Ableisten der in der Fachrichtung vorgeschriebenen Berufsausbildung die Prüfung als Handwerks-, Industrie- oder Hauswirtschaftsmeisterin oder -meister bestanden hat oder</w:t>
      </w:r>
    </w:p>
    <w:p>
      <w:r>
        <w:t xml:space="preserve">b) nach dem Besuch einer Fachschule für Sozialpädagogik die Abschlussprüfung bestanden und danach eine für die Laufbahn förderliche hauptberufliche Tätigkeit von mindestens einem Jahr und sechs Monaten ausgeübt hat.</w:t>
      </w:r>
    </w:p>
    <w:p>
      <w:r>
        <w:t xml:space="preserve">(2) Bewerberinnen und Bewerber gemäß Absatz 1 Nummer 2 Buchstabe a werden in der Regel nur zu Ausbildungsgängen für den Bereich der Schülerinnen und Schüler mit einer geistigen oder körperlichen Behinderung zugelassen.</w:t>
      </w:r>
    </w:p>
    <w:p>
      <w:r>
        <w:t xml:space="preserve">(3) Das für Schulen zuständige Ministerium kann eine andere Vorbildung und Prüfung als gleichwertig im Sinne von Absatz 1 Nummer 2 anerkennen.</w:t>
      </w:r>
    </w:p>
    <w:p>
      <w:r>
        <w:t xml:space="preserve">(4) Zeiten einer beruflichen Tätigkeit, die geeignet sind, die für die Laufbahn erforderlichen Fähigkeiten zu vermitteln, können auf die Dauer der hauptberuflichen Tätigkeit nach Absatz 1 Nummer 2 Buchstabe b angerechnet werden.</w:t>
      </w:r>
    </w:p>
    <w:p>
      <w:r>
        <w:rPr>
          <w:color w:val="555555"/>
          <w:sz w:val="17"/>
        </w:rPr>
        <w:t xml:space="preserve">Zitiervorschlag: § 2 NW_31559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https://recht.nulegal.eu/gesetze/NW_31559/2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