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NW_31537 (Nordrhein-Westfalen)</w:t>
      </w:r>
    </w:p>
    <w:p>
      <w:r>
        <w:rPr>
          <w:color w:val="555555"/>
          <w:sz w:val="18"/>
        </w:rPr>
        <w:t xml:space="preserve">Satzung des Landschaftsverbandes Rheinland über die Förderung der Inklusion in der Kindertagespflege im Gebiet des Rheinlandes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Nicht zweckentsprechend verwendete inklusive LVR-IBIK-Pauschalen werden gemäß der Richtlinien zur „Förderung der Inklusion in der Kindertagespflege“ von den örtlichen Jugendämtern zurückgefordert.</w:t>
      </w:r>
    </w:p>
    <w:p>
      <w:r>
        <w:rPr>
          <w:color w:val="555555"/>
          <w:sz w:val="17"/>
        </w:rPr>
        <w:t xml:space="preserve">Zitiervorschlag: § 4 NW_31537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