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NW_31537 (Nordrhein-Westfalen)</w:t>
      </w:r>
    </w:p>
    <w:p>
      <w:r>
        <w:rPr>
          <w:color w:val="555555"/>
          <w:sz w:val="18"/>
        </w:rPr>
        <w:t xml:space="preserve">Satzung des Landschaftsverbandes Rheinland über die Förderung der Inklusion in der Kindertagespflege im Gebiet des Rheinlandes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Unter den Voraussetzungen der Richtlinien über die Förderung der Inklusion in der Kindertagespflege wird die inklusive LVR-IBIK-Pauschale in Höhe von 5 000 € je Kind mit (drohender) Behinderung als zweckgebundener Festbetrag für ein Kindergartenjahr gewährt.</w:t>
      </w:r>
    </w:p>
    <w:p>
      <w:r>
        <w:t xml:space="preserve">Antragsverfahren, Zuwendungsvoraussetzungen und Nachweis und Prüfung der Verwendung der inklusiven LVR-IBIK-Pauschale bestimmen sich nach den jeweils geltenden Richtlinien zur „Förderung der Inklusion in der Kindertagespflege“.</w:t>
      </w:r>
    </w:p>
    <w:p>
      <w:r>
        <w:rPr>
          <w:color w:val="555555"/>
          <w:sz w:val="17"/>
        </w:rPr>
        <w:t xml:space="preserve">Zitiervorschlag: § 3 NW_31537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https://recht.nulegal.eu/gesetze/NW_31537/3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