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NW_31536 (Nordrhein-Westfalen)</w:t>
      </w:r>
    </w:p>
    <w:p>
      <w:r>
        <w:rPr>
          <w:color w:val="555555"/>
          <w:sz w:val="18"/>
        </w:rPr>
        <w:t xml:space="preserve">Haushaltssatzung des Landschaftsverbandes Westfalen-Lippe für das Haushaltsjahr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Höchstbetrag der Kredite, die zur Liquiditätssicherung in Anspruch genommen werden dürfen, wird auf 600.000.000 EUR festgesetzt.</w:t>
      </w:r>
    </w:p>
    <w:p>
      <w:r>
        <w:rPr>
          <w:color w:val="555555"/>
          <w:sz w:val="17"/>
        </w:rPr>
        <w:t xml:space="preserve">Zitiervorschlag: § 5 NW_31536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https://recht.nulegal.eu/gesetze/NW_31536/5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