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NW_31536 (Nordrhein-Westfalen)</w:t>
      </w:r>
    </w:p>
    <w:p>
      <w:r>
        <w:rPr>
          <w:color w:val="555555"/>
          <w:sz w:val="18"/>
        </w:rPr>
        <w:t xml:space="preserve">Haushaltssatzung des Landschaftsverbandes Westfalen-Lippe für das Haushaltsjahr 2016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Inanspruchnahme der Ausgleichsrücklage auf Grund des voraussichtlichen Jahresergebnisses im Ergebnisplan wird auf 18.403.432 EUR festgesetzt.</w:t>
      </w:r>
    </w:p>
    <w:p>
      <w:r>
        <w:rPr>
          <w:color w:val="555555"/>
          <w:sz w:val="17"/>
        </w:rPr>
        <w:t xml:space="preserve">Zitiervorschlag: § 4 NW_31536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https://recht.nulegal.eu/gesetze/NW_31536/4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