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NW_31513 (Nordrhein-Westfalen) — Inkrafttreten, Berichtspflicht</w:t>
      </w:r>
    </w:p>
    <w:p>
      <w:r>
        <w:rPr>
          <w:color w:val="555555"/>
          <w:sz w:val="18"/>
        </w:rPr>
        <w:t xml:space="preserve">RegKG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tritt am Tag nach der Verkündung in Kraft. Das für Wirtschaft zuständige Ministerium hat gegenüber dem Landtag zum 31. Dezember 2025 Bericht über die Wirksamkeit dieses Gesetzes zu erstatten.</w:t>
      </w:r>
    </w:p>
    <w:p>
      <w:r>
        <w:t xml:space="preserve">Die Landesregierung Nordrhein-Westfalen</w:t>
      </w:r>
    </w:p>
    <w:p>
      <w:r>
        <w:t xml:space="preserve">Für die Ministerpräsidentin</w:t>
      </w:r>
    </w:p>
    <w:p>
      <w:r>
        <w:t xml:space="preserve">Die Ministerin</w:t>
      </w:r>
    </w:p>
    <w:p>
      <w:r>
        <w:t xml:space="preserve">für Schule und Weiterbildung</w:t>
      </w:r>
    </w:p>
    <w:p>
      <w:r>
        <w:t xml:space="preserve">Der Finanzminister</w:t>
      </w:r>
    </w:p>
    <w:p>
      <w:r>
        <w:t xml:space="preserve">Für den Minister</w:t>
      </w:r>
    </w:p>
    <w:p>
      <w:r>
        <w:t xml:space="preserve">für Wirtschaft, Energie, Industrie,</w:t>
      </w:r>
    </w:p>
    <w:p>
      <w:r>
        <w:t xml:space="preserve">Mittelstand und Handwerk</w:t>
      </w:r>
    </w:p>
    <w:p>
      <w:r>
        <w:t xml:space="preserve">Der Minister</w:t>
      </w:r>
    </w:p>
    <w:p>
      <w:r>
        <w:t xml:space="preserve">für Arbeit, Integration und Soziales</w:t>
      </w:r>
    </w:p>
    <w:p>
      <w:r>
        <w:t xml:space="preserve">Der Minister</w:t>
      </w:r>
    </w:p>
    <w:p>
      <w:r>
        <w:t xml:space="preserve">für Inneres und Kommunales</w:t>
      </w:r>
    </w:p>
    <w:p>
      <w:r>
        <w:t xml:space="preserve">Der Minister</w:t>
      </w:r>
    </w:p>
    <w:p>
      <w:r>
        <w:t xml:space="preserve">für Klimaschutz, Umwelt, Landwirtschaft,</w:t>
      </w:r>
    </w:p>
    <w:p>
      <w:r>
        <w:t xml:space="preserve">Natur- und Verbraucherschutz</w:t>
      </w:r>
    </w:p>
    <w:p>
      <w:r>
        <w:t xml:space="preserve">* Dieses Gesetz dient unter anderem der Umsetzung der Richtlinie 2009/72/EG des Europäischen Parlaments und des Rates vom 13. Juli 2009 über gemeinsame Vorschriften für den Elektrizitätsbinnenmarkt und zur Aufhebung der Richtlinie 2003/54/EG (ABl. L 211 vom 14. August 2009, S. 55) sowie der Richtlinie 2009/73/EG des Europäischen Parlaments und des Rates vom 13. Juli 2009 über gemeinsame Vorschriften für den Erdgasbinnenmarkt und zur Aufhebung der Richtlinie 2003/55/EG (ABl. L 211 vom 14. August 2009, S. 94).</w:t>
      </w:r>
    </w:p>
    <w:p>
      <w:r>
        <w:rPr>
          <w:color w:val="555555"/>
          <w:sz w:val="17"/>
        </w:rPr>
        <w:t xml:space="preserve">Zitiervorschlag: § 6 NW_31513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https://recht.nulegal.eu/gesetze/NW_31513/6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