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NW_31513 (Nordrhein-Westfalen) — Besetzung</w:t>
      </w:r>
    </w:p>
    <w:p>
      <w:r>
        <w:rPr>
          <w:color w:val="555555"/>
          <w:sz w:val="18"/>
        </w:rPr>
        <w:t xml:space="preserve">RegKG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Regulierungskammer Nordrhein-Westfalen entscheidet in der Besetzung mit einem vorsitzenden Mitglied und zwei beisitzenden Mitgliedern mit Mehrheit. Kostenfestsetzungen nach § 91 des Energiewirtschaftsgesetzes können auch durch ein einzelnes Mitglied der Regulierungskammer Nordrhein-Westfalen getroffen werden.</w:t>
      </w:r>
    </w:p>
    <w:p>
      <w:r>
        <w:t xml:space="preserve">(2) Abweichend von Absatz 1 Satz 1 kann das vorsitzende Mitglied einzelne oder eine bestimmte Art von Verwaltungsverfahren nach dem Energiewirtschaftsgesetz durch unanfechtbaren Beschluss einem beisitzenden Mitglied zur alleinigen Entscheidung übertragen, wenn</w:t>
      </w:r>
    </w:p>
    <w:p>
      <w:r>
        <w:t xml:space="preserve">1. die Sache keine wesentlichen Schwierigkeiten in tatsächlicher oder rechtlicher Hinsicht aufweist,</w:t>
      </w:r>
    </w:p>
    <w:p>
      <w:r>
        <w:t xml:space="preserve">2. die Sache keine grundsätzliche Bedeutung hat und</w:t>
      </w:r>
    </w:p>
    <w:p>
      <w:r>
        <w:t xml:space="preserve">3. kein Beteiligter einen Antrag auf Entscheidung durch die Regulierungskammer Nordrhein-Westfalen stellt.</w:t>
      </w:r>
    </w:p>
    <w:p>
      <w:r>
        <w:t xml:space="preserve">Ein Antrag nach Satz 1 Nummer 3 kann nur bis zum Abschluss der Anhörung der Beteiligten nach § 67 Absatz 1 des Energiewirtschaftsgesetzes zu der beabsichtigten Entscheidung gestellt werden. Ist in einem Verwaltungsverfahren eine Übertragung nach Satz 1 erfolgt, so legt das zur alleinigen Entscheidung berufene Mitglied die Sache der Regulierungskammer Nordrhein-Westfalen vor, wenn im Laufe des Verfahrens die Voraussetzungen nach Satz 1 Nummer 1 bis 3 entfallen. In diesem Fall übernimmt die Regulierungskammer Nordrhein-Westfalen das Verwaltungsverfahren durch unanfechtbaren Beschluss.</w:t>
      </w:r>
    </w:p>
    <w:p>
      <w:r>
        <w:rPr>
          <w:color w:val="555555"/>
          <w:sz w:val="17"/>
        </w:rPr>
        <w:t xml:space="preserve">Zitiervorschlag: § 3 NW_31513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https://recht.nulegal.eu/gesetze/NW_31513/3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