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NW_31486 (Nordrhein-Westfalen) — Vertretung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Angelegenheiten der LWL-Klinik, die der Entscheidung der gesamten Betriebsleitung unterliegen, wird der LWL durch den Kaufmännischen Direktor/die Kaufmännische Direktorin und ein weiteres Mitglied der Betriebsleitung gemeinschaftlich vertreten. Abweichend von Satz 1 sind in den Fällen des § 7 Absatz 1 die einzelnen Mitglieder der Betriebsleitung beziehungsweise die Abteilungsleiter / Abteilungsleiterinnen einzeln vertretungsberechtigt.</w:t>
      </w:r>
    </w:p>
    <w:p>
      <w:r>
        <w:t xml:space="preserve">(2) Bei verpflichtenden Erklärungen für die LWL-Klinik ist entsprechend des § 21 der Landschaftsverbandsordnung für das Land Nordrhein-Westfalen zu verfahren. Die Erklärungen sind vom Direktor/von der Direktorin des LWL oder seinem/ihrem Stellvertreter beziehungsweise seiner/ihrer Stellvertreterin und dem/der sachlich zuständigen Landesrat/Landesrätin zu unterzeichnen. Die Geschäfte der laufenden Betriebsführung gelten als Geschäfte der laufenden Verwaltung (§ 21 Absatz 2 der Landschaftsverbandsordnung für das Land Nordrhein-Westfalen).</w:t>
      </w:r>
    </w:p>
    <w:p>
      <w:r>
        <w:t xml:space="preserve">Abschnitt 3</w:t>
      </w:r>
    </w:p>
    <w:p>
      <w:r>
        <w:t xml:space="preserve">Zuständigkeit des Klinikträgers</w:t>
      </w:r>
    </w:p>
    <w:p>
      <w:r>
        <w:rPr>
          <w:color w:val="555555"/>
          <w:sz w:val="17"/>
        </w:rPr>
        <w:t xml:space="preserve">Zitiervorschlag: § 9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