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NW_31486 (Nordrhein-Westfalen) — Personalangelegenheiten</w:t>
      </w:r>
    </w:p>
    <w:p>
      <w:r>
        <w:rPr>
          <w:color w:val="555555"/>
          <w:sz w:val="18"/>
        </w:rPr>
        <w:t xml:space="preserve">Betriebssatzung für die Kliniken des LWL-PsychiatrieVerbundes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Personalangelegenheiten der Beschäftigten in den LWL-Kliniken sind dem jeweiligen Betriebsleitungsmitglied für seinen Geschäftsbereich übertragen, soweit in §§ 12 und 13 nichts anderes bestimmt ist. Der Direktor/die Direktorin des LWL hat das Recht, Zuständigkeiten, die den einzelnen Betriebsleitungsmitgliedern nach Satz 1 zugewiesen sind, unmittelbar auf Abteilungsleiter/Abteilungsleiterinnen zu übertragen.</w:t>
      </w:r>
    </w:p>
    <w:p>
      <w:r>
        <w:t xml:space="preserve">(2) Die Mitglieder der Betriebsleitung beziehungsweise die Abteilungsleiter / Abteilungsleiterinnen haben bei Personalangelegenheiten nach Absatz 1 jeweils das Budget, den Stellenplan und das Tarifrecht zu beachten. Sollte eine beabsichtigte Personalmaßnahme mit diesen Vorgaben nicht vereinbar sein, steht dem Kaufmännischen Direktor/der Kaufmännischen Direktorin ein Widerspruchsrecht zu. Das weitere Verfahren richtet sich dann in entsprechender Anwendung nach § 8 Absatz 3 Satz 7 ff.</w:t>
      </w:r>
    </w:p>
    <w:p>
      <w:r>
        <w:rPr>
          <w:color w:val="555555"/>
          <w:sz w:val="17"/>
        </w:rPr>
        <w:t xml:space="preserve">Zitiervorschlag: § 7 NW_31486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https://recht.nulegal.eu/gesetze/NW_31486/7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