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NW_31486 (Nordrhein-Westfalen) — Geltungsbereich, Name und Gliederung</w:t>
      </w:r>
    </w:p>
    <w:p>
      <w:r>
        <w:rPr>
          <w:color w:val="555555"/>
          <w:sz w:val="18"/>
        </w:rPr>
        <w:t xml:space="preserve">Betriebssatzung für die Kliniken des LWL-PsychiatrieVerbundes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Satzung gilt als Einzelsatzung für die folgenden LWL-Kliniken:</w:t>
      </w:r>
    </w:p>
    <w:p>
      <w:r>
        <w:t xml:space="preserve">1. LWL-Universitätsklinikum Bochum der Ruhr-Universität Bochum,</w:t>
      </w:r>
    </w:p>
    <w:p>
      <w:r>
        <w:t xml:space="preserve">2. LWL-Klinik Dortmund,</w:t>
      </w:r>
    </w:p>
    <w:p>
      <w:r>
        <w:t xml:space="preserve">3. LWL-Klinik Dortmund, - Elisabeth-Klinik -,</w:t>
      </w:r>
    </w:p>
    <w:p>
      <w:r>
        <w:t xml:space="preserve">4. LWL-Klinikum Gütersloh,</w:t>
      </w:r>
    </w:p>
    <w:p>
      <w:r>
        <w:t xml:space="preserve">5. LWL-Universitätsklinik Hamm der Ruhr-Universität Bochum,</w:t>
      </w:r>
    </w:p>
    <w:p>
      <w:r>
        <w:t xml:space="preserve">6. LWL-Klinik Hemer, -Hans-Prinzhorn-Klinik-,</w:t>
      </w:r>
    </w:p>
    <w:p>
      <w:r>
        <w:t xml:space="preserve">7. LWL-Klinik Herten,</w:t>
      </w:r>
    </w:p>
    <w:p>
      <w:r>
        <w:t xml:space="preserve">8. LWL-Klinik Lengerich,</w:t>
      </w:r>
    </w:p>
    <w:p>
      <w:r>
        <w:t xml:space="preserve">9. LWL-Klinik Lippstadt,</w:t>
      </w:r>
    </w:p>
    <w:p>
      <w:r>
        <w:t xml:space="preserve">10. LWL-Klinik Marl-Sinsen, -Haardklinik-,</w:t>
      </w:r>
    </w:p>
    <w:p>
      <w:r>
        <w:t xml:space="preserve">11. LWL-Klinik Marsberg,</w:t>
      </w:r>
    </w:p>
    <w:p>
      <w:r>
        <w:t xml:space="preserve">12. LWL-Klinik Marsberg, Kinder- und Jugendpsychiatrie,</w:t>
      </w:r>
    </w:p>
    <w:p>
      <w:r>
        <w:t xml:space="preserve">13. LWL-Klinik Münster,</w:t>
      </w:r>
    </w:p>
    <w:p>
      <w:r>
        <w:t xml:space="preserve">14. LWL-Klinik Paderborn und</w:t>
      </w:r>
    </w:p>
    <w:p>
      <w:r>
        <w:t xml:space="preserve">15. LWL-Klinik Warstein.</w:t>
      </w:r>
    </w:p>
    <w:p>
      <w:r>
        <w:t xml:space="preserve">(2) Die LWL-Kliniken werden entsprechend der Bestimmungen des Krankenhausgestaltungsgesetzes des Landes Nordrhein-Westfalen in selbständige Abteilungen gegliedert.</w:t>
      </w:r>
    </w:p>
    <w:p>
      <w:r>
        <w:t xml:space="preserve">Abschnitt 2</w:t>
      </w:r>
    </w:p>
    <w:p>
      <w:r>
        <w:t xml:space="preserve">Zuständigkeit der LWL-Kliniken</w:t>
      </w:r>
    </w:p>
    <w:p>
      <w:r>
        <w:rPr>
          <w:color w:val="555555"/>
          <w:sz w:val="17"/>
        </w:rPr>
        <w:t xml:space="preserve">Zitiervorschlag: § 4 NW_31486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https://recht.nulegal.eu/gesetze/NW_31486/4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