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NW_31486 (Nordrhein-Westfalen) — Jahresabschluss</w:t>
      </w:r>
    </w:p>
    <w:p>
      <w:r>
        <w:rPr>
          <w:color w:val="555555"/>
          <w:sz w:val="18"/>
        </w:rPr>
        <w:t xml:space="preserve">Betriebssatzung für die Kliniken des LWL-PsychiatrieVerbundes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Betriebsleitungen haben den Jahresabschluss und den Lagebericht spätestens bis zum Ablauf von drei Monaten nach dem Abschluss des Wirtschaftsjahres aufzustellen, zu unterschreiben und über den Direktor/die Direktorin des LWL dem Gesundheits- und Krankenhausausschuss vorzulegen.</w:t>
      </w:r>
    </w:p>
    <w:p>
      <w:r>
        <w:rPr>
          <w:color w:val="555555"/>
          <w:sz w:val="17"/>
        </w:rPr>
        <w:t xml:space="preserve">Zitiervorschlag: § 17 NW_31486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https://recht.nulegal.eu/gesetze/NW_31486/17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