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NW_31485 (Nordrhein-Westfalen) — Geltungsbereich, Name und Gliederung</w:t>
      </w:r>
    </w:p>
    <w:p>
      <w:r>
        <w:rPr>
          <w:color w:val="555555"/>
          <w:sz w:val="18"/>
        </w:rPr>
        <w:t xml:space="preserve">Betriebssatzung für die Einrichtungen des Maßregelvollzuges in Trägerschaft des Landschaftsverbandes Westfalen-Lippe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 Satzung gilt als Einzelsatzung für die folgenden Maßregelvollzugseinrichtungen des LWL (im Folgenden als Betriebe bezeichnet)</w:t>
      </w:r>
    </w:p>
    <w:p>
      <w:r>
        <w:t xml:space="preserve">1. LWL-Klinik für Forensische Psychiatrie Dortmund</w:t>
      </w:r>
    </w:p>
    <w:p>
      <w:r>
        <w:t xml:space="preserve">- Wilfried-Rasch-Klinik Dortmund - ,</w:t>
      </w:r>
    </w:p>
    <w:p>
      <w:r>
        <w:t xml:space="preserve">2. LWL-Maßregelvollzugsklinik Herne,</w:t>
      </w:r>
    </w:p>
    <w:p>
      <w:r>
        <w:t xml:space="preserve">3. LWL-Maßregelvollzugsklinik Rheine (mit Wirkung zum 1. Januar 2017),</w:t>
      </w:r>
    </w:p>
    <w:p>
      <w:r>
        <w:t xml:space="preserve">4. LWL-Maßregelvollzugsklinik Schloss Haldem,</w:t>
      </w:r>
    </w:p>
    <w:p>
      <w:r>
        <w:t xml:space="preserve">5. LWL-Therapiezentrum für Forensische Psychiatrie Marsberg „Bilstein“ und</w:t>
      </w:r>
    </w:p>
    <w:p>
      <w:r>
        <w:t xml:space="preserve">6. LWL-Zentrum für Forensische Psychiatrie Lippstadt.</w:t>
      </w:r>
    </w:p>
    <w:p>
      <w:r>
        <w:t xml:space="preserve">(2) Die Betriebe können in selbständige Abteilungen mit einer eigenen therapeutischen Leitung gegliedert werden.</w:t>
      </w:r>
    </w:p>
    <w:p>
      <w:r>
        <w:t xml:space="preserve">Abschnitt 2</w:t>
      </w:r>
    </w:p>
    <w:p>
      <w:r>
        <w:t xml:space="preserve">Zuständigkeit der LWL-Maßregelvollzugseinrichtungen</w:t>
      </w:r>
    </w:p>
    <w:p>
      <w:r>
        <w:rPr>
          <w:color w:val="555555"/>
          <w:sz w:val="17"/>
        </w:rPr>
        <w:t xml:space="preserve">Zitiervorschlag: § 3 NW_31485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https://recht.nulegal.eu/gesetze/NW_31485/3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