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NW_31485 (Nordrhein-Westfalen) — Wirtschaftspläne</w:t>
      </w:r>
    </w:p>
    <w:p>
      <w:r>
        <w:rPr>
          <w:color w:val="555555"/>
          <w:sz w:val="18"/>
        </w:rPr>
        <w:t xml:space="preserve">Betriebssatzung für die Einrichtungen des Maßregelvollzuges in Trägerschaft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Betriebe sind Wirtschaftspläne, bestehend aus Erfolgsplan, Vermögensplan und der Stellenübersicht, nach Maßgabe der Gemeindekrankenhausbetriebsverordnung Nordrhein-Westfalen aufzustellen. Die Ausgaben für kurzfristige Anlagegüter werden in den Finanzplänen in einer Summe veranschlagt.</w:t>
      </w:r>
    </w:p>
    <w:p>
      <w:r>
        <w:t xml:space="preserve">(2) Der Erfolgsplan ist zu ändern, wenn eine gegenüber dem Planansatz erhebliche Erhöhung des Betriebsverlustes abzusehen ist.</w:t>
      </w:r>
    </w:p>
    <w:p>
      <w:r>
        <w:rPr>
          <w:color w:val="555555"/>
          <w:sz w:val="17"/>
        </w:rPr>
        <w:t xml:space="preserve">Zitiervorschlag: § 14 NW_31485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https://recht.nulegal.eu/gesetze/NW_31485/14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